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textAlignment w:val="auto"/>
        <w:rPr>
          <w:rFonts w:hint="default" w:ascii="Times New Roman" w:hAnsi="Times New Roman" w:eastAsia="宋体" w:cs="Times New Roman"/>
          <w:color w:val="000000"/>
          <w:spacing w:val="-4"/>
          <w:sz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auto"/>
        <w:outlineLvl w:val="0"/>
        <w:rPr>
          <w:rFonts w:hint="default" w:ascii="黑体" w:hAnsi="黑体" w:eastAsia="黑体" w:cs="FZYTK--GBK1-0"/>
          <w:kern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FZYTK--GBK1-0"/>
          <w:kern w:val="0"/>
          <w:sz w:val="32"/>
          <w:szCs w:val="32"/>
        </w:rPr>
        <w:t>华侨试验区</w:t>
      </w:r>
      <w:r>
        <w:rPr>
          <w:rFonts w:hint="default" w:ascii="黑体" w:hAnsi="黑体" w:eastAsia="黑体" w:cs="FZYTK--GBK1-0"/>
          <w:kern w:val="0"/>
          <w:sz w:val="32"/>
          <w:szCs w:val="32"/>
          <w:lang w:val="en-US" w:eastAsia="zh-CN"/>
        </w:rPr>
        <w:t>新津片区河涌水面保洁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auto"/>
        <w:outlineLvl w:val="0"/>
        <w:rPr>
          <w:rFonts w:hint="eastAsia" w:ascii="Times New Roman" w:hAnsi="Times New Roman" w:eastAsia="Arial Unicode MS" w:cs="Times New Roman"/>
          <w:bCs/>
          <w:spacing w:val="-8"/>
          <w:sz w:val="44"/>
          <w:szCs w:val="44"/>
          <w:lang w:eastAsia="zh-CN"/>
        </w:rPr>
      </w:pPr>
      <w:r>
        <w:rPr>
          <w:rFonts w:hint="default" w:ascii="黑体" w:hAnsi="黑体" w:eastAsia="黑体" w:cs="FZYTK--GBK1-0"/>
          <w:kern w:val="0"/>
          <w:sz w:val="32"/>
          <w:szCs w:val="32"/>
          <w:lang w:val="en-US" w:eastAsia="zh-CN"/>
        </w:rPr>
        <w:t>管养</w:t>
      </w:r>
      <w:r>
        <w:rPr>
          <w:rFonts w:hint="default" w:ascii="黑体" w:hAnsi="黑体" w:eastAsia="黑体" w:cs="FZYTK--GBK1-0"/>
          <w:kern w:val="0"/>
          <w:sz w:val="32"/>
          <w:szCs w:val="32"/>
        </w:rPr>
        <w:t>考核</w:t>
      </w:r>
      <w:r>
        <w:rPr>
          <w:rFonts w:hint="eastAsia" w:ascii="黑体" w:hAnsi="黑体" w:eastAsia="黑体" w:cs="FZYTK--GBK1-0"/>
          <w:kern w:val="0"/>
          <w:sz w:val="32"/>
          <w:szCs w:val="32"/>
          <w:lang w:eastAsia="zh-CN"/>
        </w:rPr>
        <w:t>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640" w:leftChars="200" w:firstLine="643" w:firstLineChars="20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、计分方法</w:t>
      </w:r>
    </w:p>
    <w:p>
      <w:pPr>
        <w:keepNext w:val="0"/>
        <w:keepLines w:val="0"/>
        <w:pageBreakBefore w:val="0"/>
        <w:tabs>
          <w:tab w:val="left" w:pos="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同一作业班次、同一地点、同一问题在考评人限定整改时间内落实整改的不重复扣分；超过整改时限的加倍扣分。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月度考核分值细化为100分，其中日常检查占50分、月度检查占40分、公众监督占10分。计算公式为：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乙方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月度考核分值=日常检查分数×50%+月度检查分数×40%+公众监督分数×10%。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其中：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（1）每日检查分数=100-当日检查扣分数。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（2）日常检查分数=每日检查分数总和÷检查天数。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（3）月度检查分数=100-检查扣分数。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（4）公众监督分数=100-当月公众监督扣分总数。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乙方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年度考核分值=月度分值加权平均值。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、经费核算办法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auto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当月考核分数在90分（含90分）以上的，全额拨付当月承包经费；得分在90分以下，每扣减1分即扣减当月承包经费的1%，不足1分的，按1分计，以此类推。</w:t>
      </w:r>
    </w:p>
    <w:p>
      <w:bookmarkStart w:id="0" w:name="_GoBack"/>
      <w:bookmarkEnd w:id="0"/>
    </w:p>
    <w:sectPr>
      <w:footerReference r:id="rId3" w:type="default"/>
      <w:pgSz w:w="11906" w:h="16838"/>
      <w:pgMar w:top="1327" w:right="1800" w:bottom="93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YT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ZmNmZWZmMTk3YmM0YTJhYjg3NWQ1ZDI5ZGM4MDgifQ=="/>
  </w:docVars>
  <w:rsids>
    <w:rsidRoot w:val="00000000"/>
    <w:rsid w:val="06B6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360" w:lineRule="auto"/>
      <w:ind w:left="200" w:firstLine="20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2023-07-06T09:05:39Z</dcterms:created>
  <dc:creator>Administrator</dc:creator>
  <cp:lastModifiedBy>Administrator</cp:lastModifiedBy>
  <dcterms:modified xsi:type="dcterms:W3CDTF">2023-07-06T09:06:14Z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AFB83193E6F8451F84B37063FAF0AB34_12</vt:lpwstr>
  </property>
</Properties>
</file>